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22B3" w14:textId="77777777" w:rsidR="00C14FA9" w:rsidRPr="00C14FA9" w:rsidRDefault="00C14FA9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EAFF3B" w14:textId="77777777" w:rsidR="00C14FA9" w:rsidRDefault="008A1FAC" w:rsidP="00C14FA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M</w:t>
      </w:r>
      <w:r w:rsidR="007A1580" w:rsidRPr="00C14FA9">
        <w:rPr>
          <w:rFonts w:asciiTheme="majorHAnsi" w:hAnsiTheme="majorHAnsi" w:cstheme="majorHAnsi"/>
          <w:sz w:val="24"/>
          <w:szCs w:val="24"/>
        </w:rPr>
        <w:t>ajandus- ja infotehnoloogiaministri 26.06.2024 määrus nr 20 „Teadus- ja arendustegevuse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07A1580" w:rsidRPr="00C14FA9">
        <w:rPr>
          <w:rFonts w:asciiTheme="majorHAnsi" w:hAnsiTheme="majorHAnsi" w:cstheme="majorHAnsi"/>
          <w:sz w:val="24"/>
          <w:szCs w:val="24"/>
        </w:rPr>
        <w:t>toetuse andmise ja kasutamise tingimused ja kord“</w:t>
      </w:r>
      <w:r w:rsidR="00BA6755" w:rsidRPr="00C14FA9">
        <w:rPr>
          <w:rFonts w:asciiTheme="majorHAnsi" w:hAnsiTheme="majorHAnsi" w:cstheme="majorHAnsi"/>
          <w:sz w:val="24"/>
          <w:szCs w:val="24"/>
        </w:rPr>
        <w:t xml:space="preserve"> alusel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0BA6755" w:rsidRPr="00C14FA9">
        <w:rPr>
          <w:rFonts w:asciiTheme="majorHAnsi" w:hAnsiTheme="majorHAnsi" w:cstheme="majorHAnsi"/>
          <w:sz w:val="24"/>
          <w:szCs w:val="24"/>
        </w:rPr>
        <w:t xml:space="preserve">loodava </w:t>
      </w:r>
    </w:p>
    <w:p w14:paraId="6020025D" w14:textId="2A733CAA" w:rsidR="00E777CE" w:rsidRPr="00C14FA9" w:rsidRDefault="00C14FA9" w:rsidP="00C14FA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14FA9">
        <w:rPr>
          <w:rFonts w:asciiTheme="majorHAnsi" w:hAnsiTheme="majorHAnsi" w:cstheme="majorHAnsi"/>
          <w:b/>
          <w:bCs/>
          <w:sz w:val="24"/>
          <w:szCs w:val="24"/>
        </w:rPr>
        <w:t xml:space="preserve">teadus- ja arendustegevuse toetuse </w:t>
      </w:r>
      <w:r w:rsidR="00BA6755" w:rsidRPr="00C14FA9">
        <w:rPr>
          <w:rFonts w:asciiTheme="majorHAnsi" w:hAnsiTheme="majorHAnsi" w:cstheme="majorHAnsi"/>
          <w:b/>
          <w:bCs/>
          <w:sz w:val="24"/>
          <w:szCs w:val="24"/>
        </w:rPr>
        <w:t>komisjoni</w:t>
      </w:r>
      <w:r w:rsidRPr="00C14F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777CE" w:rsidRPr="00C14FA9">
        <w:rPr>
          <w:rFonts w:asciiTheme="majorHAnsi" w:hAnsiTheme="majorHAnsi" w:cstheme="majorHAnsi"/>
          <w:b/>
          <w:bCs/>
          <w:sz w:val="24"/>
          <w:szCs w:val="24"/>
        </w:rPr>
        <w:t>töökord</w:t>
      </w:r>
    </w:p>
    <w:p w14:paraId="4707A544" w14:textId="0BB3B80D" w:rsidR="00E777CE" w:rsidRPr="00C14FA9" w:rsidRDefault="00E777CE" w:rsidP="00C14FA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18B6CE2" w14:textId="77777777" w:rsidR="00047C87" w:rsidRPr="00C14FA9" w:rsidRDefault="00047C87" w:rsidP="00C14FA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5C08BC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Teadus- ja arendustegevuse toetuse komisjoni (edaspidi: </w:t>
      </w:r>
      <w:r w:rsidRPr="00C14FA9">
        <w:rPr>
          <w:rFonts w:asciiTheme="majorHAnsi" w:hAnsiTheme="majorHAnsi" w:cstheme="majorHAnsi"/>
          <w:i/>
          <w:iCs/>
          <w:sz w:val="24"/>
          <w:szCs w:val="24"/>
        </w:rPr>
        <w:t>komisjon</w:t>
      </w:r>
      <w:r w:rsidRPr="00C14FA9">
        <w:rPr>
          <w:rFonts w:asciiTheme="majorHAnsi" w:hAnsiTheme="majorHAnsi" w:cstheme="majorHAnsi"/>
          <w:sz w:val="24"/>
          <w:szCs w:val="24"/>
        </w:rPr>
        <w:t xml:space="preserve">) moodustab ja kutsub kokku ETAG, kooskõlastades selle Majandus- ja kommunikatsiooniministeeriumiga (edaspidi: </w:t>
      </w:r>
      <w:r w:rsidRPr="00C14FA9">
        <w:rPr>
          <w:rFonts w:asciiTheme="majorHAnsi" w:hAnsiTheme="majorHAnsi" w:cstheme="majorHAnsi"/>
          <w:i/>
          <w:iCs/>
          <w:sz w:val="24"/>
          <w:szCs w:val="24"/>
        </w:rPr>
        <w:t>ministeerium</w:t>
      </w:r>
      <w:r w:rsidRPr="00C14FA9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64C7BE68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E078C4" w14:textId="3D4C32D0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Komisjoni liikmeteks </w:t>
      </w: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 xml:space="preserve">on </w:t>
      </w:r>
      <w:r w:rsidRPr="00C14FA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>kuni kaheksa ministeeriumi esindajat ja kolm valdkondlikku eksperti</w:t>
      </w: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.</w:t>
      </w:r>
    </w:p>
    <w:p w14:paraId="75C592D7" w14:textId="06CB85D4" w:rsidR="1616D0A2" w:rsidRPr="00C14FA9" w:rsidRDefault="1616D0A2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0CC6A8" w14:textId="4DC4261F" w:rsidR="214801A5" w:rsidRPr="00C14FA9" w:rsidRDefault="214801A5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1F1F1F"/>
          <w:sz w:val="24"/>
          <w:szCs w:val="24"/>
        </w:rPr>
      </w:pPr>
      <w:r w:rsidRPr="00C14FA9">
        <w:rPr>
          <w:rFonts w:asciiTheme="majorHAnsi" w:hAnsiTheme="majorHAnsi" w:cstheme="majorHAnsi"/>
          <w:color w:val="1F1F1F"/>
          <w:sz w:val="24"/>
          <w:szCs w:val="24"/>
        </w:rPr>
        <w:t>ETAG tagab komisjoni tehnilise teenindamise, s.h valmistab ette hindamiseks vajalikud materjalid, sõlmib komisjoni liikmetega lepingud ja konfidentsiaalsuse deklaratsioonid ning kontrollib huvide konflikti puudumist, kutsub kokku ja protokollib koosolekud.</w:t>
      </w:r>
    </w:p>
    <w:p w14:paraId="2060A2C4" w14:textId="05F93F5F" w:rsidR="1616D0A2" w:rsidRPr="00C14FA9" w:rsidRDefault="1616D0A2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color w:val="1F1F1F"/>
          <w:sz w:val="24"/>
          <w:szCs w:val="24"/>
        </w:rPr>
      </w:pPr>
    </w:p>
    <w:p w14:paraId="1F152C70" w14:textId="76ECCEE5" w:rsidR="214801A5" w:rsidRPr="00C14FA9" w:rsidRDefault="214801A5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ETAG teeb komisjoni ekspertide retsensioonidest kokkuvõtte (koondretsensiooni).</w:t>
      </w:r>
    </w:p>
    <w:p w14:paraId="0785E101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615A91F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tööd juhib komisjoni esimees, kes valitakse esimesel koosolekul.</w:t>
      </w:r>
    </w:p>
    <w:p w14:paraId="7805E838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15AAA402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koosolekule võib kaasata hääleõiguseta teadlasi, spetsialiste või ametnikke vastavalt vajadusele.</w:t>
      </w:r>
    </w:p>
    <w:p w14:paraId="4E629759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7551B22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esimehe äraolekul juhib komisjoni tööd esimehe poolt määratud komisjoni liige.</w:t>
      </w:r>
    </w:p>
    <w:p w14:paraId="56FEAD1C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0343E923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töövorm on koosolek.</w:t>
      </w:r>
    </w:p>
    <w:p w14:paraId="5F538EA6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945338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Koosolek toimub vastavalt vajadusele.</w:t>
      </w:r>
    </w:p>
    <w:p w14:paraId="0C495ED1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76D88911" w14:textId="79D60DF9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Koosoleku kutsub kokku komisjoni esimees, tehes teatavaks koosoleku aja, koha ja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Pr="00C14FA9">
        <w:rPr>
          <w:rFonts w:asciiTheme="majorHAnsi" w:hAnsiTheme="majorHAnsi" w:cstheme="majorHAnsi"/>
          <w:sz w:val="24"/>
          <w:szCs w:val="24"/>
        </w:rPr>
        <w:t>esialgse päevakorra. Komisjoni liikmetele koosolekust etteteatamise minimaalne aeg on viis tööpäeva. Otsustamiseks vajalikud dokumendid saadetakse komisjonile vähemalt viis tööpäeva enne koosoleku toimumist.</w:t>
      </w:r>
    </w:p>
    <w:p w14:paraId="6C0F4C48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C736DA" w14:textId="03A908B7" w:rsid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 on otsustuspädev, kui 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>koosolekul osaleb vähemalt 60% komisjoni liikmetest</w:t>
      </w:r>
      <w:r w:rsidRPr="00C14FA9">
        <w:rPr>
          <w:rFonts w:asciiTheme="majorHAnsi" w:hAnsiTheme="majorHAnsi" w:cstheme="majorHAnsi"/>
          <w:sz w:val="24"/>
          <w:szCs w:val="24"/>
        </w:rPr>
        <w:t xml:space="preserve">. Otsused võetakse vastu konsensuslikult. 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>Juhul, kui konsensust ei saavutata, tehakse otsused lihthäälte enamusega ning häälte võrdse jagunemise puhul on otsustavaks komisjoni juhi hääl.</w:t>
      </w:r>
      <w:r w:rsidRPr="00C14F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3AF37E" w14:textId="77777777" w:rsidR="00C14FA9" w:rsidRPr="00C14FA9" w:rsidRDefault="00C14FA9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BC6C34" w14:textId="733E6CF9" w:rsidR="4879A760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Esimees määrab koosolekule protokollija või protokollib ise koosoleku.</w:t>
      </w:r>
      <w:r w:rsidR="2F1C1AA9" w:rsidRPr="00C14FA9">
        <w:rPr>
          <w:rFonts w:asciiTheme="majorHAnsi" w:hAnsiTheme="majorHAnsi" w:cstheme="majorHAnsi"/>
          <w:sz w:val="24"/>
          <w:szCs w:val="24"/>
        </w:rPr>
        <w:t xml:space="preserve"> H</w:t>
      </w:r>
      <w:r w:rsidR="56CE9B77" w:rsidRPr="00C14FA9">
        <w:rPr>
          <w:rFonts w:asciiTheme="majorHAnsi" w:hAnsiTheme="majorHAnsi" w:cstheme="majorHAnsi"/>
          <w:sz w:val="24"/>
          <w:szCs w:val="24"/>
        </w:rPr>
        <w:t>indamis</w:t>
      </w:r>
      <w:r w:rsidR="4879A760" w:rsidRPr="00C14FA9">
        <w:rPr>
          <w:rFonts w:asciiTheme="majorHAnsi" w:hAnsiTheme="majorHAnsi" w:cstheme="majorHAnsi"/>
          <w:sz w:val="24"/>
          <w:szCs w:val="24"/>
        </w:rPr>
        <w:t>koosolekust protokolliallkirjastavad komisjoni juht ja protokollija.</w:t>
      </w:r>
    </w:p>
    <w:p w14:paraId="260D4AE5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FEE9BD" w14:textId="3D1A75F9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koosoleku protokoll</w:t>
      </w:r>
      <w:r w:rsidR="0E307BBD" w:rsidRPr="00C14FA9">
        <w:rPr>
          <w:rFonts w:asciiTheme="majorHAnsi" w:hAnsiTheme="majorHAnsi" w:cstheme="majorHAnsi"/>
          <w:sz w:val="24"/>
          <w:szCs w:val="24"/>
        </w:rPr>
        <w:t>, sh e-koosoleku protokoll,</w:t>
      </w:r>
      <w:r w:rsidRPr="00C14FA9">
        <w:rPr>
          <w:rFonts w:asciiTheme="majorHAnsi" w:hAnsiTheme="majorHAnsi" w:cstheme="majorHAnsi"/>
          <w:sz w:val="24"/>
          <w:szCs w:val="24"/>
        </w:rPr>
        <w:t xml:space="preserve"> esitatakse komisjoni liikmetele hiljemalt seitsme tööpäeva jooksul pärast koosoleku toimumist. Komisjoni liikmetel on õigus teha sinna parandusi ja täiendusi, mille andmise aja otsustab komisjoni esimees.</w:t>
      </w:r>
    </w:p>
    <w:p w14:paraId="5C59DA7D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25CCB8" w14:textId="6038F279" w:rsidR="1C790A71" w:rsidRPr="00C14FA9" w:rsidRDefault="1C790A71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Komisjoni koosolekud toimuvad kas füüsiliselt või videosilla vahendusel. </w:t>
      </w:r>
      <w:r w:rsidR="05ADEBDF" w:rsidRPr="00C14FA9">
        <w:rPr>
          <w:rFonts w:asciiTheme="majorHAnsi" w:hAnsiTheme="majorHAnsi" w:cstheme="majorHAnsi"/>
          <w:sz w:val="24"/>
          <w:szCs w:val="24"/>
        </w:rPr>
        <w:t>Komisjoni koosolek võib toimuda kirjaliku protseduurina elektroonilise koosoleku</w:t>
      </w:r>
      <w:r w:rsidR="005B12BD" w:rsidRP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5ADEBDF" w:rsidRPr="00C14FA9">
        <w:rPr>
          <w:rFonts w:asciiTheme="majorHAnsi" w:hAnsiTheme="majorHAnsi" w:cstheme="majorHAnsi"/>
          <w:sz w:val="24"/>
          <w:szCs w:val="24"/>
        </w:rPr>
        <w:t xml:space="preserve">(edaspidi e-koosoleku) vormis. </w:t>
      </w:r>
    </w:p>
    <w:p w14:paraId="0C5639E2" w14:textId="3623ED84" w:rsidR="1C790A71" w:rsidRPr="00C14FA9" w:rsidRDefault="1C790A71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910188" w14:textId="539032A8" w:rsidR="1A11661B" w:rsidRPr="00C14FA9" w:rsidRDefault="1A11661B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Hindamiskoosolekul osalemist </w:t>
      </w:r>
      <w:r w:rsidR="6695E7E0" w:rsidRPr="00C14FA9">
        <w:rPr>
          <w:rFonts w:asciiTheme="majorHAnsi" w:hAnsiTheme="majorHAnsi" w:cstheme="majorHAnsi"/>
          <w:sz w:val="24"/>
          <w:szCs w:val="24"/>
        </w:rPr>
        <w:t>pole lubatud</w:t>
      </w:r>
      <w:r w:rsidR="1F36AA0E" w:rsidRPr="00C14FA9">
        <w:rPr>
          <w:rFonts w:asciiTheme="majorHAnsi" w:hAnsiTheme="majorHAnsi" w:cstheme="majorHAnsi"/>
          <w:sz w:val="24"/>
          <w:szCs w:val="24"/>
        </w:rPr>
        <w:t xml:space="preserve"> </w:t>
      </w:r>
      <w:r w:rsidRPr="00C14FA9">
        <w:rPr>
          <w:rFonts w:asciiTheme="majorHAnsi" w:hAnsiTheme="majorHAnsi" w:cstheme="majorHAnsi"/>
          <w:sz w:val="24"/>
          <w:szCs w:val="24"/>
        </w:rPr>
        <w:t>asendada</w:t>
      </w:r>
      <w:r w:rsidR="7102580F" w:rsidRPr="00C14FA9">
        <w:rPr>
          <w:rFonts w:asciiTheme="majorHAnsi" w:hAnsiTheme="majorHAnsi" w:cstheme="majorHAnsi"/>
          <w:sz w:val="24"/>
          <w:szCs w:val="24"/>
        </w:rPr>
        <w:t xml:space="preserve"> kirjaliku arvamuse avaldamise või muu kirjaliku menetlusprotsessiga.</w:t>
      </w:r>
    </w:p>
    <w:p w14:paraId="350E68AC" w14:textId="20CA711A" w:rsidR="1616D0A2" w:rsidRPr="00C14FA9" w:rsidRDefault="1616D0A2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45AAC59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E-koosoleku kasutamisel esitab komisjoni esimees komisjoni liikmetele materjalid ja</w:t>
      </w:r>
    </w:p>
    <w:p w14:paraId="1592AF2C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otsuste eelnõud kirjalikku taasesitamist võimaldavas vormis.</w:t>
      </w:r>
    </w:p>
    <w:p w14:paraId="3756E07C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BD8092" w14:textId="2131B35F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liikmed teatavad kirjalikult otsuse eelnõuga nõustumisest või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Pr="00C14FA9">
        <w:rPr>
          <w:rFonts w:asciiTheme="majorHAnsi" w:hAnsiTheme="majorHAnsi" w:cstheme="majorHAnsi"/>
          <w:sz w:val="24"/>
          <w:szCs w:val="24"/>
        </w:rPr>
        <w:t>mittenõustumisest kümne tööpäeva jooksul alates dokumentide väljastamise kuupäevast.</w:t>
      </w:r>
    </w:p>
    <w:p w14:paraId="3E8CE5F1" w14:textId="7472E010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5E1402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liikmetel on õigus teha parandusi ja täiendusi protokolli komisjoni esimehe määratletud mõistliku tähtaja jooksul.</w:t>
      </w:r>
    </w:p>
    <w:p w14:paraId="014756F8" w14:textId="77777777" w:rsidR="00047C87" w:rsidRPr="00C14FA9" w:rsidRDefault="00047C87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32792D" w14:textId="77777777" w:rsidR="00E777CE" w:rsidRPr="00C14FA9" w:rsidRDefault="00E777CE" w:rsidP="00C14FA9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Komisjoni ülesanded on: </w:t>
      </w:r>
    </w:p>
    <w:p w14:paraId="3D5F9521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nõustada strateegiliste uurimissuundade ja nende alla kuuluvate uurimisküsimuste püstitamist ning tegevuste ajakava ja eelarve koostamist;</w:t>
      </w:r>
    </w:p>
    <w:p w14:paraId="16E8EE67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 elluviimise tulemuslikkust ning anda toetuse saajale, ETAGile ja ministeeriumile soovitusi edasisteks tegevusteks;</w:t>
      </w:r>
    </w:p>
    <w:p w14:paraId="010EAFFA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taotlusi;</w:t>
      </w:r>
    </w:p>
    <w:p w14:paraId="2B81B308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projektide vahe- ja lõpptulemusi;</w:t>
      </w:r>
    </w:p>
    <w:p w14:paraId="29BE1000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teha ETAGile ettepanek toetuse maksmise lõpetamiseks.</w:t>
      </w:r>
    </w:p>
    <w:p w14:paraId="7B78AA06" w14:textId="77777777" w:rsidR="00E777CE" w:rsidRPr="00C14FA9" w:rsidRDefault="00E777CE" w:rsidP="00C14FA9">
      <w:pPr>
        <w:pStyle w:val="Default"/>
        <w:ind w:left="723"/>
        <w:jc w:val="both"/>
        <w:rPr>
          <w:rFonts w:asciiTheme="majorHAnsi" w:hAnsiTheme="majorHAnsi" w:cstheme="majorHAnsi"/>
        </w:rPr>
      </w:pPr>
    </w:p>
    <w:p w14:paraId="5F1F9E74" w14:textId="77777777" w:rsidR="00E777CE" w:rsidRPr="00C14FA9" w:rsidRDefault="00E777CE" w:rsidP="00C14FA9">
      <w:pPr>
        <w:pStyle w:val="Default"/>
        <w:numPr>
          <w:ilvl w:val="0"/>
          <w:numId w:val="1"/>
        </w:numPr>
        <w:ind w:left="723"/>
        <w:jc w:val="both"/>
        <w:rPr>
          <w:rFonts w:asciiTheme="majorHAnsi" w:hAnsiTheme="majorHAnsi" w:cstheme="majorHAnsi"/>
        </w:rPr>
      </w:pPr>
      <w:r w:rsidRPr="00C14FA9">
        <w:rPr>
          <w:rFonts w:asciiTheme="majorHAnsi" w:hAnsiTheme="majorHAnsi" w:cstheme="majorHAnsi"/>
        </w:rPr>
        <w:t xml:space="preserve">Komisjon hindab projekti vahe- ja lõpptulemusi. </w:t>
      </w:r>
      <w:r w:rsidRPr="00C14FA9">
        <w:rPr>
          <w:rFonts w:asciiTheme="majorHAnsi" w:hAnsiTheme="majorHAnsi" w:cstheme="majorHAnsi"/>
          <w:color w:val="1F1F1F"/>
        </w:rPr>
        <w:t xml:space="preserve">Komisjoni teeb ettepanekud: </w:t>
      </w:r>
    </w:p>
    <w:p w14:paraId="5B0EAA85" w14:textId="78124317" w:rsidR="00E777CE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kinnitada vahe- või lõpptulemused; </w:t>
      </w:r>
    </w:p>
    <w:p w14:paraId="63625700" w14:textId="77777777" w:rsidR="00401182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anda tähtaeg vahe- või lõpptulemuste täiendamiseks või neis esinevate puuduste kõrvaldamiseks; </w:t>
      </w:r>
    </w:p>
    <w:p w14:paraId="4B032882" w14:textId="77777777" w:rsidR="0075162B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lükata vahe- või lõpptulemused tagasi. </w:t>
      </w:r>
    </w:p>
    <w:p w14:paraId="56F289E1" w14:textId="77777777" w:rsidR="0075162B" w:rsidRPr="00C14FA9" w:rsidRDefault="0075162B" w:rsidP="00C14FA9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12F271D6" w14:textId="27B37160" w:rsidR="00E777CE" w:rsidRPr="00C14FA9" w:rsidRDefault="00E777CE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Vahe- või lõpptulemused lükatakse tagasi juhul, kui:</w:t>
      </w:r>
    </w:p>
    <w:p w14:paraId="1E0F8806" w14:textId="77777777" w:rsidR="00401182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1. </w:t>
      </w:r>
      <w:r w:rsidR="00E777CE" w:rsidRPr="00C14FA9">
        <w:rPr>
          <w:rFonts w:asciiTheme="majorHAnsi" w:hAnsiTheme="majorHAnsi" w:cstheme="majorHAnsi"/>
          <w:color w:val="1F1F1F"/>
        </w:rPr>
        <w:t>toetuse saaja ei täiendanud neid ega kõrvaldanud puuduseid määratud tähtpäevaks;</w:t>
      </w:r>
    </w:p>
    <w:p w14:paraId="4B0E2F25" w14:textId="32DD3ECB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2. </w:t>
      </w:r>
      <w:r w:rsidR="00E777CE" w:rsidRPr="00C14FA9">
        <w:rPr>
          <w:rFonts w:asciiTheme="majorHAnsi" w:hAnsiTheme="majorHAnsi" w:cstheme="majorHAnsi"/>
          <w:color w:val="1F1F1F"/>
        </w:rPr>
        <w:t xml:space="preserve">vahe- või lõpptulemused ei ole kooskõlas projekti eesmärkidega; </w:t>
      </w:r>
    </w:p>
    <w:p w14:paraId="7A338DB5" w14:textId="3756193A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3. </w:t>
      </w:r>
      <w:r w:rsidR="00E777CE" w:rsidRPr="00C14FA9">
        <w:rPr>
          <w:rFonts w:asciiTheme="majorHAnsi" w:hAnsiTheme="majorHAnsi" w:cstheme="majorHAnsi"/>
          <w:color w:val="1F1F1F"/>
        </w:rPr>
        <w:t xml:space="preserve">olulised etapid või ajakavas ette nähtud vahe- või lõpptulemused on saavutamata; </w:t>
      </w:r>
    </w:p>
    <w:p w14:paraId="26D04ED8" w14:textId="0D2EDFEE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4. </w:t>
      </w:r>
      <w:r w:rsidR="00E777CE" w:rsidRPr="00C14FA9">
        <w:rPr>
          <w:rFonts w:asciiTheme="majorHAnsi" w:hAnsiTheme="majorHAnsi" w:cstheme="majorHAnsi"/>
          <w:color w:val="1F1F1F"/>
        </w:rPr>
        <w:t xml:space="preserve">projekti elluviimisel on eksitud hea teadustava vastu. </w:t>
      </w:r>
    </w:p>
    <w:p w14:paraId="206D7223" w14:textId="77777777" w:rsidR="00E777CE" w:rsidRPr="00C14FA9" w:rsidRDefault="00E777CE" w:rsidP="00C14FA9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0F0DA2D2" w14:textId="54062D2D" w:rsidR="1616D0A2" w:rsidRPr="00C14FA9" w:rsidRDefault="00431D3D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14FA9">
        <w:rPr>
          <w:rFonts w:asciiTheme="majorHAnsi" w:hAnsiTheme="majorHAnsi" w:cstheme="majorHAnsi"/>
        </w:rPr>
        <w:t xml:space="preserve"> Ministeeriumi riigitöötajatest ja ETAGi töötajatest komisjoni liikmetele ei maksta komisjoni töös osalemise eest tasu.</w:t>
      </w:r>
    </w:p>
    <w:sectPr w:rsidR="1616D0A2" w:rsidRPr="00C14FA9" w:rsidSect="00C14FA9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ADA0" w14:textId="77777777" w:rsidR="00C14FA9" w:rsidRDefault="00C14FA9" w:rsidP="00C14FA9">
      <w:pPr>
        <w:spacing w:after="0" w:line="240" w:lineRule="auto"/>
      </w:pPr>
      <w:r>
        <w:separator/>
      </w:r>
    </w:p>
  </w:endnote>
  <w:endnote w:type="continuationSeparator" w:id="0">
    <w:p w14:paraId="7CCC0B8E" w14:textId="77777777" w:rsidR="00C14FA9" w:rsidRDefault="00C14FA9" w:rsidP="00C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82027"/>
      <w:docPartObj>
        <w:docPartGallery w:val="Page Numbers (Bottom of Page)"/>
        <w:docPartUnique/>
      </w:docPartObj>
    </w:sdtPr>
    <w:sdtEndPr/>
    <w:sdtContent>
      <w:p w14:paraId="799BC99D" w14:textId="3680BB23" w:rsidR="00C14FA9" w:rsidRDefault="00C14FA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04648" w14:textId="77777777" w:rsidR="00C14FA9" w:rsidRDefault="00C14FA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634C" w14:textId="77777777" w:rsidR="00C14FA9" w:rsidRDefault="00C14FA9" w:rsidP="00C14FA9">
      <w:pPr>
        <w:spacing w:after="0" w:line="240" w:lineRule="auto"/>
      </w:pPr>
      <w:r>
        <w:separator/>
      </w:r>
    </w:p>
  </w:footnote>
  <w:footnote w:type="continuationSeparator" w:id="0">
    <w:p w14:paraId="64A77A6B" w14:textId="77777777" w:rsidR="00C14FA9" w:rsidRDefault="00C14FA9" w:rsidP="00C1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0B01" w14:textId="7401EAFC" w:rsidR="00C14FA9" w:rsidRDefault="00C14FA9" w:rsidP="00C14FA9">
    <w:pPr>
      <w:pStyle w:val="Pis"/>
      <w:jc w:val="center"/>
    </w:pPr>
    <w:r>
      <w:t>KAVAND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0DA"/>
    <w:multiLevelType w:val="hybridMultilevel"/>
    <w:tmpl w:val="2AC67A9C"/>
    <w:lvl w:ilvl="0" w:tplc="7DA6DC7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3" w:hanging="360"/>
      </w:pPr>
    </w:lvl>
    <w:lvl w:ilvl="2" w:tplc="0425001B" w:tentative="1">
      <w:start w:val="1"/>
      <w:numFmt w:val="lowerRoman"/>
      <w:lvlText w:val="%3."/>
      <w:lvlJc w:val="right"/>
      <w:pPr>
        <w:ind w:left="2523" w:hanging="180"/>
      </w:pPr>
    </w:lvl>
    <w:lvl w:ilvl="3" w:tplc="0425000F" w:tentative="1">
      <w:start w:val="1"/>
      <w:numFmt w:val="decimal"/>
      <w:lvlText w:val="%4."/>
      <w:lvlJc w:val="left"/>
      <w:pPr>
        <w:ind w:left="3243" w:hanging="360"/>
      </w:pPr>
    </w:lvl>
    <w:lvl w:ilvl="4" w:tplc="04250019" w:tentative="1">
      <w:start w:val="1"/>
      <w:numFmt w:val="lowerLetter"/>
      <w:lvlText w:val="%5."/>
      <w:lvlJc w:val="left"/>
      <w:pPr>
        <w:ind w:left="3963" w:hanging="360"/>
      </w:pPr>
    </w:lvl>
    <w:lvl w:ilvl="5" w:tplc="0425001B" w:tentative="1">
      <w:start w:val="1"/>
      <w:numFmt w:val="lowerRoman"/>
      <w:lvlText w:val="%6."/>
      <w:lvlJc w:val="right"/>
      <w:pPr>
        <w:ind w:left="4683" w:hanging="180"/>
      </w:pPr>
    </w:lvl>
    <w:lvl w:ilvl="6" w:tplc="0425000F" w:tentative="1">
      <w:start w:val="1"/>
      <w:numFmt w:val="decimal"/>
      <w:lvlText w:val="%7."/>
      <w:lvlJc w:val="left"/>
      <w:pPr>
        <w:ind w:left="5403" w:hanging="360"/>
      </w:pPr>
    </w:lvl>
    <w:lvl w:ilvl="7" w:tplc="04250019" w:tentative="1">
      <w:start w:val="1"/>
      <w:numFmt w:val="lowerLetter"/>
      <w:lvlText w:val="%8."/>
      <w:lvlJc w:val="left"/>
      <w:pPr>
        <w:ind w:left="6123" w:hanging="360"/>
      </w:pPr>
    </w:lvl>
    <w:lvl w:ilvl="8" w:tplc="042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B4904CD"/>
    <w:multiLevelType w:val="multilevel"/>
    <w:tmpl w:val="A15E3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870FA"/>
    <w:multiLevelType w:val="hybridMultilevel"/>
    <w:tmpl w:val="C38A0398"/>
    <w:lvl w:ilvl="0" w:tplc="A1EEB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A7A3D"/>
    <w:multiLevelType w:val="hybridMultilevel"/>
    <w:tmpl w:val="4B405428"/>
    <w:lvl w:ilvl="0" w:tplc="F05C84C6">
      <w:start w:val="2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5"/>
  </w:num>
  <w:num w:numId="2" w16cid:durableId="1079407653">
    <w:abstractNumId w:val="4"/>
  </w:num>
  <w:num w:numId="3" w16cid:durableId="1756437147">
    <w:abstractNumId w:val="2"/>
  </w:num>
  <w:num w:numId="4" w16cid:durableId="34409056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254631115">
    <w:abstractNumId w:val="3"/>
  </w:num>
  <w:num w:numId="6" w16cid:durableId="198680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jI2NDC3MDI3NjRR0lEKTi0uzszPAykwrAUAEMSmzywAAAA="/>
  </w:docVars>
  <w:rsids>
    <w:rsidRoot w:val="00F567C0"/>
    <w:rsid w:val="00006B8D"/>
    <w:rsid w:val="00047C87"/>
    <w:rsid w:val="0005310B"/>
    <w:rsid w:val="000E09ED"/>
    <w:rsid w:val="00100ED7"/>
    <w:rsid w:val="0015713C"/>
    <w:rsid w:val="00172B8A"/>
    <w:rsid w:val="0018119D"/>
    <w:rsid w:val="001A5FDC"/>
    <w:rsid w:val="002248D7"/>
    <w:rsid w:val="00230564"/>
    <w:rsid w:val="002456CB"/>
    <w:rsid w:val="0024591E"/>
    <w:rsid w:val="00266F75"/>
    <w:rsid w:val="00295C22"/>
    <w:rsid w:val="002A0031"/>
    <w:rsid w:val="002A4AFA"/>
    <w:rsid w:val="002B077A"/>
    <w:rsid w:val="002B4345"/>
    <w:rsid w:val="0030009D"/>
    <w:rsid w:val="0030577C"/>
    <w:rsid w:val="0034299D"/>
    <w:rsid w:val="00392B86"/>
    <w:rsid w:val="00401182"/>
    <w:rsid w:val="00431D3D"/>
    <w:rsid w:val="00456D4C"/>
    <w:rsid w:val="00463EA3"/>
    <w:rsid w:val="00465556"/>
    <w:rsid w:val="004659A4"/>
    <w:rsid w:val="00473640"/>
    <w:rsid w:val="00485253"/>
    <w:rsid w:val="005248A5"/>
    <w:rsid w:val="0053270F"/>
    <w:rsid w:val="005702F6"/>
    <w:rsid w:val="00597249"/>
    <w:rsid w:val="005B12BD"/>
    <w:rsid w:val="00602EB3"/>
    <w:rsid w:val="00611ED9"/>
    <w:rsid w:val="00625672"/>
    <w:rsid w:val="006D0568"/>
    <w:rsid w:val="00706D5E"/>
    <w:rsid w:val="0075162B"/>
    <w:rsid w:val="007A1580"/>
    <w:rsid w:val="007C09E2"/>
    <w:rsid w:val="007D10D0"/>
    <w:rsid w:val="00804C31"/>
    <w:rsid w:val="008379F4"/>
    <w:rsid w:val="00855041"/>
    <w:rsid w:val="00892328"/>
    <w:rsid w:val="008A1FAC"/>
    <w:rsid w:val="008C373C"/>
    <w:rsid w:val="008C6A58"/>
    <w:rsid w:val="00902FCD"/>
    <w:rsid w:val="00910113"/>
    <w:rsid w:val="009315CB"/>
    <w:rsid w:val="009B3547"/>
    <w:rsid w:val="009D07E0"/>
    <w:rsid w:val="009F1121"/>
    <w:rsid w:val="00A13FED"/>
    <w:rsid w:val="00A26ECE"/>
    <w:rsid w:val="00A8357F"/>
    <w:rsid w:val="00A92F5C"/>
    <w:rsid w:val="00B222C5"/>
    <w:rsid w:val="00B614BC"/>
    <w:rsid w:val="00BA6755"/>
    <w:rsid w:val="00BA68A7"/>
    <w:rsid w:val="00BD490C"/>
    <w:rsid w:val="00C14FA9"/>
    <w:rsid w:val="00C44EC6"/>
    <w:rsid w:val="00C93090"/>
    <w:rsid w:val="00CC621E"/>
    <w:rsid w:val="00D00DF2"/>
    <w:rsid w:val="00D66049"/>
    <w:rsid w:val="00DD5B02"/>
    <w:rsid w:val="00DE4942"/>
    <w:rsid w:val="00E507EE"/>
    <w:rsid w:val="00E777CE"/>
    <w:rsid w:val="00E8264B"/>
    <w:rsid w:val="00EC4196"/>
    <w:rsid w:val="00ED06D1"/>
    <w:rsid w:val="00ED6C64"/>
    <w:rsid w:val="00F11A66"/>
    <w:rsid w:val="00F17E5C"/>
    <w:rsid w:val="00F2141C"/>
    <w:rsid w:val="00F31238"/>
    <w:rsid w:val="00F47464"/>
    <w:rsid w:val="00F5309A"/>
    <w:rsid w:val="00F567C0"/>
    <w:rsid w:val="00F6288D"/>
    <w:rsid w:val="00F769B3"/>
    <w:rsid w:val="00F83028"/>
    <w:rsid w:val="00FC5229"/>
    <w:rsid w:val="02DF241C"/>
    <w:rsid w:val="05ADEBDF"/>
    <w:rsid w:val="0C15F681"/>
    <w:rsid w:val="0E307BBD"/>
    <w:rsid w:val="0F4ABBBA"/>
    <w:rsid w:val="14245514"/>
    <w:rsid w:val="1616D0A2"/>
    <w:rsid w:val="1A11661B"/>
    <w:rsid w:val="1C44A00E"/>
    <w:rsid w:val="1C790A71"/>
    <w:rsid w:val="1F36AA0E"/>
    <w:rsid w:val="214801A5"/>
    <w:rsid w:val="2F1C1AA9"/>
    <w:rsid w:val="36E9753E"/>
    <w:rsid w:val="3A1A05A1"/>
    <w:rsid w:val="3DD369AF"/>
    <w:rsid w:val="40CE7002"/>
    <w:rsid w:val="41E6497B"/>
    <w:rsid w:val="42580319"/>
    <w:rsid w:val="4879A760"/>
    <w:rsid w:val="49B3B541"/>
    <w:rsid w:val="50C1D1AC"/>
    <w:rsid w:val="55805797"/>
    <w:rsid w:val="56CE9B77"/>
    <w:rsid w:val="5A96CB23"/>
    <w:rsid w:val="5F2035B5"/>
    <w:rsid w:val="6695E7E0"/>
    <w:rsid w:val="69C88224"/>
    <w:rsid w:val="6EB7B2E3"/>
    <w:rsid w:val="7102580F"/>
    <w:rsid w:val="77AFE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NumberingSymbols">
    <w:name w:val="Numbering Symbols"/>
    <w:rsid w:val="00392B86"/>
  </w:style>
  <w:style w:type="paragraph" w:customStyle="1" w:styleId="Default">
    <w:name w:val="Default"/>
    <w:rsid w:val="006D0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C1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14FA9"/>
  </w:style>
  <w:style w:type="paragraph" w:styleId="Jalus">
    <w:name w:val="footer"/>
    <w:basedOn w:val="Normaallaad"/>
    <w:link w:val="JalusMrk"/>
    <w:uiPriority w:val="99"/>
    <w:unhideWhenUsed/>
    <w:rsid w:val="00C1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1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4" ma:contentTypeDescription="Create a new document." ma:contentTypeScope="" ma:versionID="27b29a3981fc49fcdf0af367d0d6bb6d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83FBB-EA42-4D42-9340-C59357A4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25209-4A1A-4857-A848-C95431FD7453}">
  <ds:schemaRefs>
    <ds:schemaRef ds:uri="http://www.w3.org/XML/1998/namespace"/>
    <ds:schemaRef ds:uri="9b483750-598d-46a0-877d-052f8f804d23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90f65bec-117b-4ec2-83b8-dbdf58b29f23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5216E14-96F0-4998-951B-66739959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Indrek Heinla</dc:creator>
  <dc:description/>
  <cp:lastModifiedBy>Astrid Liira</cp:lastModifiedBy>
  <cp:revision>4</cp:revision>
  <dcterms:created xsi:type="dcterms:W3CDTF">2025-04-08T08:32:00Z</dcterms:created>
  <dcterms:modified xsi:type="dcterms:W3CDTF">2025-04-09T12:40:00Z</dcterms:modified>
  <dc:title>Komisjoni töökord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2024-06-26T07:09:47Z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18424435-66c1-4f46-abd9-c6c3ae0778e1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0x010100A8A9530149E6D647995539E7A0B89E3B</vt:lpwstr>
  </property>
  <property fmtid="{D5CDD505-2E9C-101B-9397-08002B2CF9AE}" pid="10" name="MediaServiceImageTags">
    <vt:lpwstr/>
  </property>
</Properties>
</file>